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34"/>
      </w:tblGrid>
      <w:tr w:rsidR="007D6B58" w:rsidTr="00BB4C12">
        <w:trPr>
          <w:trHeight w:val="540"/>
          <w:jc w:val="center"/>
        </w:trPr>
        <w:tc>
          <w:tcPr>
            <w:tcW w:w="9234" w:type="dxa"/>
            <w:tcBorders>
              <w:tl2br w:val="nil"/>
              <w:tr2bl w:val="nil"/>
            </w:tcBorders>
          </w:tcPr>
          <w:p w:rsidR="007D6B58" w:rsidRDefault="007D6B58" w:rsidP="00BB4C12">
            <w:pPr>
              <w:spacing w:line="1540" w:lineRule="exact"/>
              <w:jc w:val="center"/>
              <w:rPr>
                <w:rFonts w:ascii="方正小标宋简体" w:eastAsia="方正小标宋简体" w:hAnsi="宋体"/>
                <w:color w:val="FF0000"/>
                <w:w w:val="50"/>
                <w:sz w:val="144"/>
                <w:szCs w:val="144"/>
              </w:rPr>
            </w:pPr>
            <w:r>
              <w:rPr>
                <w:rFonts w:ascii="方正小标宋简体" w:eastAsia="方正小标宋简体" w:hAnsi="宋体" w:hint="eastAsia"/>
                <w:b/>
                <w:bCs/>
                <w:color w:val="FF0000"/>
                <w:w w:val="50"/>
                <w:sz w:val="144"/>
                <w:szCs w:val="144"/>
              </w:rPr>
              <w:t>山东省淄博第一中学文件</w:t>
            </w:r>
          </w:p>
        </w:tc>
      </w:tr>
      <w:tr w:rsidR="007D6B58" w:rsidTr="00BB4C12">
        <w:trPr>
          <w:trHeight w:hRule="exact" w:val="593"/>
          <w:jc w:val="center"/>
        </w:trPr>
        <w:tc>
          <w:tcPr>
            <w:tcW w:w="9234" w:type="dxa"/>
            <w:tcBorders>
              <w:tl2br w:val="nil"/>
              <w:tr2bl w:val="nil"/>
            </w:tcBorders>
          </w:tcPr>
          <w:p w:rsidR="007D6B58" w:rsidRDefault="007D6B58" w:rsidP="00BB4C12">
            <w:pPr>
              <w:spacing w:line="1540" w:lineRule="exact"/>
              <w:jc w:val="center"/>
              <w:rPr>
                <w:rFonts w:ascii="方正小标宋简体" w:eastAsia="方正小标宋简体" w:hAnsi="宋体"/>
                <w:color w:val="FF0000"/>
                <w:w w:val="50"/>
                <w:sz w:val="144"/>
                <w:szCs w:val="144"/>
              </w:rPr>
            </w:pPr>
          </w:p>
        </w:tc>
      </w:tr>
      <w:tr w:rsidR="007D6B58" w:rsidTr="00BB4C12">
        <w:trPr>
          <w:jc w:val="center"/>
        </w:trPr>
        <w:tc>
          <w:tcPr>
            <w:tcW w:w="9234" w:type="dxa"/>
            <w:tcBorders>
              <w:tl2br w:val="nil"/>
              <w:tr2bl w:val="nil"/>
            </w:tcBorders>
          </w:tcPr>
          <w:p w:rsidR="007D6B58" w:rsidRDefault="007D6B58" w:rsidP="00BB4C12">
            <w:pPr>
              <w:tabs>
                <w:tab w:val="left" w:pos="5040"/>
              </w:tabs>
              <w:jc w:val="center"/>
              <w:rPr>
                <w:rFonts w:ascii="方正小标宋简体" w:eastAsia="方正小标宋简体" w:hAnsi="宋体"/>
                <w:color w:val="FF0000"/>
                <w:w w:val="50"/>
                <w:sz w:val="144"/>
                <w:szCs w:val="144"/>
              </w:rPr>
            </w:pPr>
            <w:r>
              <w:rPr>
                <w:rFonts w:ascii="仿宋_GB2312" w:eastAsia="仿宋_GB2312" w:hint="eastAsia"/>
                <w:b/>
                <w:color w:val="FF0000"/>
                <w:sz w:val="30"/>
                <w:szCs w:val="28"/>
              </w:rPr>
              <w:t xml:space="preserve"> </w:t>
            </w:r>
            <w:r>
              <w:rPr>
                <w:rFonts w:hAnsi="宋体" w:hint="eastAsia"/>
                <w:b/>
                <w:color w:val="FF0000"/>
                <w:sz w:val="44"/>
              </w:rPr>
              <w:t>————————★————————</w:t>
            </w:r>
          </w:p>
        </w:tc>
      </w:tr>
    </w:tbl>
    <w:p w:rsidR="00816954" w:rsidRPr="00BC4C2E" w:rsidRDefault="00913F96" w:rsidP="007D6B58">
      <w:pPr>
        <w:pStyle w:val="a8"/>
        <w:rPr>
          <w:sz w:val="36"/>
          <w:szCs w:val="36"/>
        </w:rPr>
      </w:pPr>
      <w:r w:rsidRPr="00BC4C2E">
        <w:rPr>
          <w:rFonts w:hint="eastAsia"/>
          <w:sz w:val="36"/>
          <w:szCs w:val="36"/>
        </w:rPr>
        <w:t xml:space="preserve"> </w:t>
      </w:r>
      <w:r w:rsidRPr="00BC4C2E">
        <w:rPr>
          <w:rFonts w:hint="eastAsia"/>
          <w:sz w:val="36"/>
          <w:szCs w:val="36"/>
        </w:rPr>
        <w:t>淄博一中突发公共事件应急预案</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 xml:space="preserve">  为全力做好我校师生安全教育工作，牢固树立“安全第一”</w:t>
      </w:r>
      <w:r w:rsidR="007D6B58" w:rsidRPr="00BC4C2E">
        <w:rPr>
          <w:rFonts w:ascii="宋体" w:eastAsia="宋体" w:hAnsi="宋体" w:cs="宋体" w:hint="eastAsia"/>
          <w:color w:val="000000" w:themeColor="text1"/>
          <w:sz w:val="28"/>
          <w:szCs w:val="28"/>
        </w:rPr>
        <w:t>、</w:t>
      </w:r>
      <w:r w:rsidRPr="00BC4C2E">
        <w:rPr>
          <w:rFonts w:ascii="宋体" w:eastAsia="宋体" w:hAnsi="宋体" w:cs="宋体" w:hint="eastAsia"/>
          <w:color w:val="000000" w:themeColor="text1"/>
          <w:sz w:val="28"/>
          <w:szCs w:val="28"/>
        </w:rPr>
        <w:t>“预防为主”的思想，本着求真务实的精神，把安全教育和防范工作抓细、抓实、抓出成效。特制订《淄博一中突发公共事件应急预案》。</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一、总则</w:t>
      </w:r>
      <w:bookmarkStart w:id="0" w:name="_GoBack"/>
      <w:bookmarkEnd w:id="0"/>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为有效预防、及时控制和妥善处理学校各类突发公共事件，提高快速反应和应急处理能力，建立健全应急机制，确保学校师生员工的生命与财产安全，保证正常的教育教学生活秩序，维护学校和社会稳定，制定本预案。</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二、编制依据</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《中华人民共和国刑法》、《中华人民共和国教育法》、《中华人民共和国治安管理处罚条例》、国务院《信访条例》，以及《中小学幼儿园安全管理办法》等法律法规和规定。</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三、适用范围</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本预案所指的突发公共事件，主要包括以下几个方面：</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1、突发公共卫生事件。突发并造成或者可能造成学校师生健康严重损害的公共卫生事件。即发生在学校内、学校所在地区可能对学校师生健康造成危害的突发公共卫生事件。</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事故灾害与自然灾害事件。事故灾害包括学校各专用教室等发生的火灾、建筑物倒塌、拥挤踩踏等重大安全事故，校园重大交通安全事故，大型群体活动公共安全事故，造成重大影响和损失的后勤供水、电、等事故，重大环境污染和生态破坏事故，影响学校安全与稳定的其它突发灾难事故等。自然灾害包括气象、洪水、地质、森林、地震灾害，及其诱发的各种次生灾害等。</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3、网络、信息安全事件。各种破坏网络安全运行的事件。</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4、影响学校安全与稳定的其它突发公共事件。</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四、工作原则</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统一指挥，快速反应。学校成立突发公共事件应急处置工作领导小组，负责突发公共事件处置工作。一旦发生重大事件，确保发现、报告、指挥、处置等环节的紧密衔接，做到快速反应，正确应对，处置果断，力争把问题解决在萌芽状态。</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分级负责，属地管理。发生突发事件后，应遵循属地化管理原则，学校要在当地党委和政府的统一领导下，启动应急预案，并及时报告区教育系统突发公共事件应急处置工作委员会。学校“一把手”是维护稳定“第一责任人”。</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3、预防为本，及时控制。立足于防范，认真开展矛盾纠纷排查调处工作，强化信息的广泛收集和深层次研究，争取早发现，早报告，早控制，早解决。</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4、系统联动，群防群控。发生突发公共事件后，相关部门负责人要立即赶赴现场，靠前指挥，掌握情况，开展工作，控制局面。形成系统联动、群防群控的工作格局。</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区分性质，依法处置。在处置突发公共事件过程中，要坚持从保护师生生命和财产安全的角度出发，按照“动之以情、晓之以理，可散不可聚，可顺不可激，可分不可结”的工作原则，及时化解矛盾，防止事态扩大。要严格区分和正确处理两类不同性质的矛盾，做到合情合理、依法办事，维护师生的合法权益。</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6、加强保障，重在建设。从法规上、制度上、组织上、物质上全面加强保障措施。在领导精力、经费保障和力量部署等方面加强硬件与软件建设，增强工作实力，提高工作效率。</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五、突发公共事件的级别</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按照紧迫程度、形成规模、行为方式、激烈程度、造成的危害和影响、蔓延发展的趋势等由高到低分为：特别重大事件（Ⅰ级）、重大事件（Ⅱ级）、较大事件（Ⅲ级）、一般事件（Ⅳ级）。具体情况见各类突发公共事件应急处置中事件级别划定部分。</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2、应急组织指挥体系及职责</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3、学校突发公共事件应急处置工作领导小组</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组  长：</w:t>
      </w:r>
      <w:r w:rsidR="00BC4C2E" w:rsidRPr="00BC4C2E">
        <w:rPr>
          <w:rFonts w:ascii="宋体" w:eastAsia="宋体" w:hAnsi="宋体" w:cs="宋体" w:hint="eastAsia"/>
          <w:color w:val="000000" w:themeColor="text1"/>
          <w:sz w:val="28"/>
          <w:szCs w:val="28"/>
        </w:rPr>
        <w:t>刘加成</w:t>
      </w:r>
    </w:p>
    <w:p w:rsidR="007D6B58"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副组长：</w:t>
      </w:r>
      <w:r w:rsidR="00BC4C2E" w:rsidRPr="00BC4C2E">
        <w:rPr>
          <w:rFonts w:ascii="宋体" w:eastAsia="宋体" w:hAnsi="宋体" w:cs="宋体" w:hint="eastAsia"/>
          <w:color w:val="000000" w:themeColor="text1"/>
          <w:sz w:val="28"/>
          <w:szCs w:val="28"/>
        </w:rPr>
        <w:t>李诚、胡波、</w:t>
      </w:r>
      <w:r w:rsidR="007D6B58" w:rsidRPr="00BC4C2E">
        <w:rPr>
          <w:rFonts w:ascii="宋体" w:eastAsia="宋体" w:hAnsi="宋体" w:cs="宋体" w:hint="eastAsia"/>
          <w:color w:val="000000" w:themeColor="text1"/>
          <w:sz w:val="28"/>
          <w:szCs w:val="28"/>
        </w:rPr>
        <w:t>吕永军、李涛</w:t>
      </w:r>
      <w:r w:rsidRPr="00BC4C2E">
        <w:rPr>
          <w:rFonts w:ascii="宋体" w:eastAsia="宋体" w:hAnsi="宋体" w:cs="宋体" w:hint="eastAsia"/>
          <w:color w:val="000000" w:themeColor="text1"/>
          <w:sz w:val="28"/>
          <w:szCs w:val="28"/>
        </w:rPr>
        <w:t>、</w:t>
      </w:r>
      <w:r w:rsidR="007D6B58" w:rsidRPr="00BC4C2E">
        <w:rPr>
          <w:rFonts w:ascii="宋体" w:eastAsia="宋体" w:hAnsi="宋体" w:cs="宋体" w:hint="eastAsia"/>
          <w:color w:val="000000" w:themeColor="text1"/>
          <w:sz w:val="28"/>
          <w:szCs w:val="28"/>
        </w:rPr>
        <w:t>王波</w:t>
      </w:r>
      <w:r w:rsidR="00BC4C2E" w:rsidRPr="00BC4C2E">
        <w:rPr>
          <w:rFonts w:ascii="宋体" w:eastAsia="宋体" w:hAnsi="宋体" w:cs="宋体" w:hint="eastAsia"/>
          <w:color w:val="000000" w:themeColor="text1"/>
          <w:sz w:val="28"/>
          <w:szCs w:val="28"/>
        </w:rPr>
        <w:t>、徐继华</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组  员：各级部负责人、中层部门负责人、教研室主任</w:t>
      </w:r>
    </w:p>
    <w:p w:rsidR="00816954" w:rsidRPr="00BC4C2E" w:rsidRDefault="00913F96">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应急办公室：张仕温</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突发公共事件应急处置工作领导小组主要职责，负责统一决策，组织、指挥学校内各类突发公共事件的应急响应行动，下达应急处置工作任务。</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4、领导小组主要职责</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主要职责：负责组织、指挥、协调、决策学校突发公共事件的处置工作；完善突发公共事件的预防和监测预警机制；对学校防范和处理突发公共事件工作进行督导、检查；收集各类突发公共事件的工作信息，适时向学校通报，并提出有关对策和措施；对突发的灾难事件，视其性质和严重程度，研究决定是否在一定范围内停课，并向教育局有关部门报告，对特大灾难事故，在接到报告后立即派人赴现场参加安抚慰问、灾情调查工作；建立应对突发性事件专项资金，并根据情况决定动用专项资金及使用资金的数额。</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六、预防和预警机制</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1、预防预警信息</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建立畅通的信息传输渠道和严格的信息上报机制，完善快速应急信息系统。</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2、信息报送原则</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（1）迅速：学校发生突发公共事件10分钟内，电话向教育主管部门汇报。2小时内报相关文字材料。</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（2）准确：信息内容要客观详实，不得主观臆断，不得漏报、瞒报、谎报。</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（3）事件情况发生变化后，应及时续报。</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3、应急信息的主要内容</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（1）事件基本情况，包括时间、地点、规模、破坏程度以及人员伤亡数量等情况；</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（2）事件发生起因、性质和影响程度；</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（3）校内外公众及媒体等各方面的反应；</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（4）事态发展状态、处置过程和结果；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（5）需要报送的其它事项。</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4、预防预警行动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（1）加强应急反应机制的日常性管理，在实践中不断完善应急处置预案。加强人员培训，开展经常性的演练活动，提高队伍理论素质和实践技能，不断增强应对突发公共事件的指挥能力和实战能力。</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（2）做好应对各类突发公共事件的人力、物力和财力方面的储备工作，确保突发公共事件预防、现场控制的应急设施、设备和必要的经费保障。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5、应急保障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（1）信息保障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建立健全并落实突发公共事件信息收集、传递、报送、处理等各环节运行机制，完善信息传输渠道，保证信息传输设施和通讯设备完好，保持通讯方便快捷，确保信息报送渠道的安全畅通。</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（2）物资保障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保障处置突发公共事件的物资储备充足。特殊物资应由专人保管，确保物资器材存放合理、运输便利、安全可靠。</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（3）资金保障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学校内部突发公共事件应急处置所需经费，学校要严格保证。</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（4）人员保障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学校组建突发公共事件应急预备队</w:t>
      </w:r>
    </w:p>
    <w:p w:rsidR="007D6B58" w:rsidRPr="00BC4C2E" w:rsidRDefault="00BC4C2E"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组长：徐继华</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组员：国成爱、李涛、田世军、李仁江、张仕温、孙伟</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（5）培训演练保障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积极开展应急处置工作队伍的技能培训，定期进行应急模拟演练，提高协同作战和快速反应能力。具体保障措施见各类突发公共事件应急处置中应急保障部分。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七、火灾事故处理办法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突发火灾事故，要立即启动应急预案，全力组织人员疏散和自救工作，同时，要在第一时间内向119指挥中心报警。学校有关领导和有关部门负责人要在第一时间亲临现场组织教职员工开展救人和灭火工作，并在消防队伍到现场后，主动提供有关信息，配合消防队伍组织救人和灭火抢险工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2、采取诸如切断煤气等紧急安全措施，避免继发性危害。</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3、配合医疗机构妥善安置伤病员。</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4、解决受灾师生的安居问题。</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5、及时采取疏散人员、封锁现场、转移重要财物等必要措施，确保人员、财产的安全。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八、房屋、围墙、厕所倒塌等建筑物安全事故处理办法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1、学校发生房屋、围墙、厕所倒塌等建筑物安全事故，学校有关领导和有关部门的负责同志，要在第一时间赶赴现场，根据灾情启动应急预案，迅速开展现场处置和救援工作；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2、迅速采取诸如切断煤气等有效措施，并密切关注连带建筑物的安全状况，消除继发性危险；</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3、在有关方面的帮助下及时解救受困人员，抢救伤病员。</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九、校园爆炸事故处理办法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1、学校发生爆炸事故后，学校领导和有关部门负责同志要在第一时间赶到现场，组织抢救，在向上级主管部门报告的同时，立即向公安消防部门报告；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2、及时设置隔离带，封锁和保护现场，疏散人员，控制好现场的治安事态，迅速采取有效措施消除继发性危险，防止次生事故发生，切实保护好师生的人身财产安全；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3、如果发现肇事者或直接责任者，应立即采取有效控制措施，并迅速报告公安机关；</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4、认真配合公安消防部门做好搜寻物证、排除险情，防止继发性爆炸等工作。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十、突发危险品污染事故的处理办法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1、学校应根据各类危险品的特性制定相应的应急预案；</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2、学校因意外因素引起危险物品泄露，或因违反有关规定排放污染物造成环境污染事故灾难的，应及时向当地教育和有关部门报告，同时设置污染区；</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3、协同政府有关部门，组织专家、技术人员携带必要的采样分析仪器，赴事故现场进行调查，迅速查明危险品类型，确定主要污染源及危害；</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4、初步查明情况后，要迅速制定消除或减轻危害的方案，并立即组织人员实施；</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5、对有明确污染源的应立即控制污染物排放;对于化学危险品污染事故，程度轻微的，启动学校相关应急预案处理，情况严重的，要立即向当地政府和上级教育行政部门报告；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6、对发生有毒物质污染可能危及师生生命财产安全的，学校向教育局报告并立即采取措施，控制污染事故蔓延，同时报告当地党委和政府，必要时组织师生疏散或撤离；</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7、危险或危害排除后，学校应妥善处理好环境污染事故善后工作；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8、发生危险品污染事故，学校应及时报当地环保部门。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十一、校园恶性交通事故处理办法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1、校园发生恶性交通事故，遇有学生、教工死亡、受伤等情况，学校领导和有关部门负责同志要在第一时间赶到现场，组织抢救，立即向上级主管部门报告，向医疗急救部门求助，向公安交警部门报告；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2、保护好事故现场，有效控制肇事人，寻找证人；</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3、学校有关部门协助公安交警部门及时查明事故情况;涉及外籍师生的，要尽快按规定报告各级外事部门。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十二、大型群体活动的公共安全事故处理办法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1、学校举办的各类大型文体活动，必须按有关规定做好专项安全工作预案，落实安全保卫措施；</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2、发生重大安全事故，立即启动相关应急预案，遇有学生、教工死亡，受伤等情况，立即向医疗急救部门求助。</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活动组织者和安全工作负责人要稳定现场秩序，根据情况组织师生有序疏散逃生，担负起保护学生生命安全的责4、学校有关领导和有关部门领导要在第一时间赶赴现场，靠前指挥，组织疏导、抢救伤病员，积极争取当地党委、政府和有关部门的支援帮助。</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十三、突发后勤安全保障事件的处理办法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后勤部门要做好食堂等重点场所以及供水、供电、供暖、通讯保障等突发事件的防范工作，对重点场所和关键部位要加强检查，严格落实安全管理制度和操作规程，确保安全运行，保障师生员工的身体健康和生命安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发生跑水、断电、燃气泄露等事故时，学校领导和有关方面负责同志要立即赶到现场，组织人员迅速采取应急措施，进行抢修和抢救，控制事态，必要时请求当地有关专业部门支持，力争在最短的时间内恢复正常；</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十四、校园暴力事件的处理办法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（1）坚持“稳定压倒一切”的原则。增强政治意识、大局意识和责任意识，积极、主动、扎实、认真地做好预防和处置校园暴力事件的工作，为维护社会稳定、推进社会主义现代化建设提供良好的社会环境。</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防止矛盾激化的原则。对参与重大群体性事件的群众，要坚持可散不可聚、可解不可结、可顺不可激，以教育疏导为主，力争把问题解决在萌芽状态或初始阶段。对出现可能影响校园及社会稳定的言论、动向或事态，“宁可信其有，不可信其无”，不可麻痹大意、掉以轻心，要做到早发现、早布置、早处理，力争把事态平息在萌芽状态。特别在三个主要环节上必须引起足够重视：一是问题发生前，要立足防范，超前工作，掌握主动；二是问题发生后，要迅速判明性质，依法办事，注意方法，及时果断处置；三是事件平息后，要做好善后工作，防止出现反复。</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本预案的办事程序遵循预防为主、分级负责处置的原则。校长对学校整体安全负责，学校各处室负责人对本处室安全负责，各班级班主任对本班学生安全负责，暴力事件一旦发生，必须在第一时间逐级上报。对已经发生的暴力事件，严格要求按“事故原因不查清不放过，事故责任者得不到处理不放过，整改措施不落实不放过，教训不吸取不放过”原则查明原因、严肃处理、追究责任，以维护法制和纪律的严肃性，对国家和人民负责。</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发生一般性暴力事件，学校第一时间采取相关措施妥善处理，严防事态扩大以避免造成严重影响和损失，并根据有关规定如实将处置情况以书面形式将事故发生、处理情况报告教育局。</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发生重大校园暴力事件，学校要立即采取应急处置方案，在第一时间通过电话或传真等将简要情况迅速报告教育局，在教育党委和教育行政部门的指导下，视情况及时采取紧急措施，由学校专人负责组织实施应急处置工作，并将事件进展情况及处置情况逐级上报。</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b/>
          <w:color w:val="000000" w:themeColor="text1"/>
          <w:sz w:val="28"/>
          <w:szCs w:val="28"/>
        </w:rPr>
        <w:t>十五、校园周边突发安全事故处理办法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1、积极协助当地有关部门妥善处理，防止事态扩大；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2、及时向师生员工通报有关情况，稳定师生情绪，维十五、学校突发安全事故处理中的其它有关注意事项</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1、发生灾难事故，学校要及时向师生员工通报有关情况，稳定师生员工情绪，维护校园秩序；</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2、凡是发生人员伤亡的，学校要立即采取救助措施，积极抢救伤病员，减少人员伤亡；</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3、所有灾难事故发生后，学校都要考虑可能引发继发性伤害问题，妥善处置，防止事态扩大；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4、凡是需要采取断水、断电等应急处理措施的，都要认真权衡利弊，妥善处理。防止产生继发性灾害问题。</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5、善后与恢复</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一旦直接的应急任务和生命救护活动结束，应立即设立恢复中心，工作重点从应急转向善后行动，争取在最短时间内恢复学校正常秩序。学校要做到：</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（1）做好事故中受伤人员的医疗救助工作，对在事故中死亡人员进行人道主义抚恤、补偿或赔偿，对受害者家属进行慰问，对有各种保险的伤亡人员要帮助联系保险公司赔付。</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（2）及时查明事故原因，严格信息发布制度，确保信息及时、准确、客观、全面。疏导师生情绪，稳定校园秩序。</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（3）全面检查设备、设施安全性能，检查安全管理漏洞，整改安全隐患，避免事故再次发生。</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（4）总结经验教训，追究有关责任人的责任。</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（5）配合公安部门，做好事故案件侦破调查工作。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6、事件结束后，学校应进一步加强事故预防措施。加强校内安全保卫和各项设施的安全检查，杜绝安全隐患;关注校园周边安全状况，及时向综治办反映存在隐患，提出整改建议，协助各部门对安全隐患进行整治；加强防灾、避灾知识宣传教育，增强学生自我保护能力。</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7、公共卫生类突发事件应急处置</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公共卫生类突发事件等级确认与划分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根据《国家突发公共卫生事件应急预案》，结合教育行政部门实际，突发公共卫生事件按严重程度，从高至低划分为特别重大 (Ⅰ级)、重大(Ⅱ级)、较大(Ⅲ级)和一般(Ⅳ级)四级。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特别重大突发公共卫生事件(Ⅰ级)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(1)学校发生肺鼠疫、肺炭疽、传染性非典型肺炎、人感染高致病性禽流感、群体性不明原因疾病、新传染病以及我国已经消灭的传染病等达到国务院卫生行政部门确定的特别重大突发公共卫生事件标准的;</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(2)学校实验室保存的烈性病菌株、毒株、毒种等丢失;</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(3)发生在学校的，国务院卫生行政部门认定的其他特别重大突发公共卫生事件。</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8.重大突发公共卫生事件(Ⅱ级)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(1)学校集体性食物中毒，一次中毒人数超过100人并出现死亡病例，或出现10例及以上死亡病例;</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(2)学校发生肺鼠疫、肺炭疽、腺鼠疫、霍乱等传染病病例，发病人数以及疫情波及范围达到省级以上卫生行政部门确定的重大突发公共卫生事件标准;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(3)学校发生传染性非典型肺炎、人感染高致病性禽流感疑似病例;</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(4)乙类、丙类传染病在短期内爆发流行，发病人数以及疫情波及范围达到省级以上卫生行政部门确定的重大突发公共卫生事件标准;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(5)群体性不明原因疾病扩散到区域外的学校;</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(6)因预防接种或预防性服药造成人员死亡;</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(7)因学校实验室有毒物(药)品泄露，造成人员急性中毒在50人以上，或者死亡5人及以上;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(8)发生在学校的，经省级以上卫生行政部门认定的其他重大突发公共卫生事件。</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9、较大突发公共卫生事件(III级)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(1)学校集体食物中毒，一次中毒人数超过100人，或出现死亡病例;</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(2)学校发生肺鼠疫、肺炭疽、腺鼠疫、霍乱等传染病病例，发病人数以及疫情波及范围达到省级以上卫生行政部门确定的较大突发公共卫生事件标准;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(3)乙类传染病、丙类传染病在短期内爆发流行，疫情局限在区域内的学校，发病人数达到市级以上卫生行政部门确定的较大突发公共卫生事件标准;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(4)在一个区域内学校发现群体性不明原因疾病;</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(5)发生在学校的因预防接种或预防性服药造成的群体性心因性反应或不良反应;</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(6)因学校实验室有毒物(药)品泄露，造成人员急性中毒，一次中毒人数在10一50人，或出现死亡病例，但死亡人员在5人以下;</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(7)发生在学校的，经市级以上卫生行政部门认定的其他较大突发公共卫生事件。</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9、一般突发公共卫生事件(IV级)</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(1)学校发生集体食物中毒，一次食物中毒人数30一100人，无死亡病例;</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(2)学校发生腺鼠疫、霍乱等病例，发病人数以疫情波及范围达到省级以上卫生行政部门确定的一般突发公共卫生事件标准;</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(3)因学校实验室有毒物(药)品泄露，造成人员急性中毒，一次中毒人数在10人以下，无死亡病例;</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(4)发生在学校的，经县级以上卫生行政部门认定的其他一般突发公共卫生事件。</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10、鉴于学校公共卫生事件涉及青少年健康安全，社会关注度较高，未达到IV级突发公共卫生事件标准的一般公共卫生事件，均按照IV级突发公共卫生事件进行应急反应。</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11、学校所在地区发生的、可能对学校师生员工健康造成危害的突发公共卫生事件，教育行政部门和学校应在当地党委、政府和卫生行政部门的统一领导下，根据突发公共卫生事件的严重程度，做好相应的应急处置工作。</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13、信息报告与信息发布</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信息报告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(1)突发公共卫生事件的责任报告单位</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教育行政部门和学校。</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(2)突发公共卫生事件报告时限及程序</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A、初次报告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学校发生突发公共卫生事件后，应立即向上级教育行政部门报告。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B、进程报告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Ⅰ级和Ⅱ级突发公共卫生事件处置过程中，学校每天应将事件发展变化情况报告上级教育行政部门。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Ⅲ级和Ⅳ级突发公共卫生事件处置过程中，学校应及时将事件发展变化情况报告上级教育行政部门。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C、结案报告</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事件结束后，应将处理结果逐级报告上级教育行政部门。</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（3）报告内容</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A、初次报告内容</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必报内容:事件发生时间、地点、造成伤害的人数;选报内容:事件初步性质、发生的可能原因等。</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lastRenderedPageBreak/>
        <w:t>B、进程报告内容:事件控制情况(丢失的有害物查找情况)、患病(中毒)人员治疗与病情变化情况、造成事故的原因、已经或准备采取的整改措施。</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C、结案报告内容:事件处理结果、整改情况、责任追究情况等。</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应急反应</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1、发生突发公共卫生事件时，事发地的学校在当地党委、政府的统一部署下，按照分级响应的原则，根据相应级别做好应急反应。</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2、学校突发公共卫生事件应急处理要采取边调查、边处理、边抢救、边核实的方式，以有效措施控制事态发展。</w:t>
      </w:r>
    </w:p>
    <w:p w:rsidR="007D6B58" w:rsidRPr="00BC4C2E" w:rsidRDefault="007D6B58" w:rsidP="007D6B58">
      <w:pPr>
        <w:pStyle w:val="a3"/>
        <w:widowControl/>
        <w:shd w:val="clear" w:color="auto" w:fill="FFFFFF" w:themeFill="background1"/>
        <w:spacing w:beforeAutospacing="0" w:afterAutospacing="0" w:line="440" w:lineRule="exact"/>
        <w:ind w:firstLine="420"/>
        <w:rPr>
          <w:rFonts w:ascii="宋体" w:eastAsia="宋体" w:hAnsi="宋体" w:cs="宋体"/>
          <w:color w:val="000000" w:themeColor="text1"/>
          <w:sz w:val="28"/>
          <w:szCs w:val="28"/>
        </w:rPr>
      </w:pPr>
    </w:p>
    <w:p w:rsidR="007D6B58" w:rsidRPr="00BC4C2E" w:rsidRDefault="007D6B58" w:rsidP="007D6B58">
      <w:pPr>
        <w:pStyle w:val="a3"/>
        <w:widowControl/>
        <w:shd w:val="clear" w:color="auto" w:fill="FFFFFF" w:themeFill="background1"/>
        <w:spacing w:beforeAutospacing="0" w:afterAutospacing="0" w:line="440" w:lineRule="exact"/>
        <w:ind w:firstLine="420"/>
        <w:jc w:val="center"/>
        <w:rPr>
          <w:rFonts w:ascii="宋体" w:eastAsia="宋体" w:hAnsi="宋体" w:cs="宋体"/>
          <w:color w:val="000000" w:themeColor="text1"/>
          <w:sz w:val="28"/>
          <w:szCs w:val="28"/>
        </w:rPr>
      </w:pPr>
      <w:r w:rsidRPr="00BC4C2E">
        <w:rPr>
          <w:rFonts w:ascii="宋体" w:eastAsia="宋体" w:hAnsi="宋体" w:cs="宋体" w:hint="eastAsia"/>
          <w:color w:val="000000" w:themeColor="text1"/>
          <w:sz w:val="28"/>
          <w:szCs w:val="28"/>
        </w:rPr>
        <w:t> </w:t>
      </w:r>
    </w:p>
    <w:p w:rsidR="007D6B58" w:rsidRPr="00BC4C2E" w:rsidRDefault="007D6B58" w:rsidP="007D6B58">
      <w:pPr>
        <w:shd w:val="clear" w:color="auto" w:fill="FFFFFF" w:themeFill="background1"/>
        <w:spacing w:line="440" w:lineRule="exact"/>
        <w:rPr>
          <w:color w:val="000000" w:themeColor="text1"/>
          <w:sz w:val="28"/>
          <w:szCs w:val="28"/>
        </w:rPr>
      </w:pPr>
    </w:p>
    <w:sectPr w:rsidR="007D6B58" w:rsidRPr="00BC4C2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47" w:rsidRDefault="00254047" w:rsidP="00E20E4B">
      <w:r>
        <w:separator/>
      </w:r>
    </w:p>
  </w:endnote>
  <w:endnote w:type="continuationSeparator" w:id="0">
    <w:p w:rsidR="00254047" w:rsidRDefault="00254047" w:rsidP="00E2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swiss"/>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47" w:rsidRDefault="00254047" w:rsidP="00E20E4B">
      <w:r>
        <w:separator/>
      </w:r>
    </w:p>
  </w:footnote>
  <w:footnote w:type="continuationSeparator" w:id="0">
    <w:p w:rsidR="00254047" w:rsidRDefault="00254047" w:rsidP="00E20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834644"/>
    <w:rsid w:val="001B00BF"/>
    <w:rsid w:val="00254047"/>
    <w:rsid w:val="0075008C"/>
    <w:rsid w:val="007D6B58"/>
    <w:rsid w:val="00816954"/>
    <w:rsid w:val="00913F96"/>
    <w:rsid w:val="00BC4C2E"/>
    <w:rsid w:val="00E20E4B"/>
    <w:rsid w:val="2E834644"/>
    <w:rsid w:val="7C81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68C4A"/>
  <w15:docId w15:val="{2B29E4AB-3542-40BB-8835-C0815066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E20E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20E4B"/>
    <w:rPr>
      <w:kern w:val="2"/>
      <w:sz w:val="18"/>
      <w:szCs w:val="18"/>
    </w:rPr>
  </w:style>
  <w:style w:type="paragraph" w:styleId="a6">
    <w:name w:val="footer"/>
    <w:basedOn w:val="a"/>
    <w:link w:val="a7"/>
    <w:rsid w:val="00E20E4B"/>
    <w:pPr>
      <w:tabs>
        <w:tab w:val="center" w:pos="4153"/>
        <w:tab w:val="right" w:pos="8306"/>
      </w:tabs>
      <w:snapToGrid w:val="0"/>
      <w:jc w:val="left"/>
    </w:pPr>
    <w:rPr>
      <w:sz w:val="18"/>
      <w:szCs w:val="18"/>
    </w:rPr>
  </w:style>
  <w:style w:type="character" w:customStyle="1" w:styleId="a7">
    <w:name w:val="页脚 字符"/>
    <w:basedOn w:val="a0"/>
    <w:link w:val="a6"/>
    <w:rsid w:val="00E20E4B"/>
    <w:rPr>
      <w:kern w:val="2"/>
      <w:sz w:val="18"/>
      <w:szCs w:val="18"/>
    </w:rPr>
  </w:style>
  <w:style w:type="paragraph" w:styleId="a8">
    <w:name w:val="Subtitle"/>
    <w:basedOn w:val="a"/>
    <w:next w:val="a"/>
    <w:link w:val="a9"/>
    <w:qFormat/>
    <w:rsid w:val="007D6B58"/>
    <w:pPr>
      <w:spacing w:before="240" w:after="60" w:line="312" w:lineRule="auto"/>
      <w:jc w:val="center"/>
      <w:outlineLvl w:val="1"/>
    </w:pPr>
    <w:rPr>
      <w:b/>
      <w:bCs/>
      <w:kern w:val="28"/>
      <w:sz w:val="32"/>
      <w:szCs w:val="32"/>
    </w:rPr>
  </w:style>
  <w:style w:type="character" w:customStyle="1" w:styleId="a9">
    <w:name w:val="副标题 字符"/>
    <w:basedOn w:val="a0"/>
    <w:link w:val="a8"/>
    <w:rsid w:val="007D6B58"/>
    <w:rPr>
      <w:b/>
      <w:bCs/>
      <w:kern w:val="28"/>
      <w:sz w:val="32"/>
      <w:szCs w:val="32"/>
    </w:rPr>
  </w:style>
  <w:style w:type="table" w:styleId="aa">
    <w:name w:val="Table Grid"/>
    <w:basedOn w:val="a1"/>
    <w:qFormat/>
    <w:rsid w:val="007D6B5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江随缘流</dc:creator>
  <cp:lastModifiedBy>Administrator</cp:lastModifiedBy>
  <cp:revision>2</cp:revision>
  <dcterms:created xsi:type="dcterms:W3CDTF">2021-05-10T07:27:00Z</dcterms:created>
  <dcterms:modified xsi:type="dcterms:W3CDTF">2021-05-10T07:27:00Z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